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b/>
          <w:bCs/>
          <w:sz w:val="44"/>
          <w:szCs w:val="44"/>
          <w:lang w:eastAsia="zh-CN"/>
        </w:rPr>
      </w:pPr>
      <w:r>
        <w:rPr>
          <w:rFonts w:hint="eastAsia" w:ascii="微软雅黑" w:hAnsi="微软雅黑" w:eastAsia="微软雅黑" w:cs="微软雅黑"/>
          <w:b/>
          <w:bCs/>
          <w:sz w:val="44"/>
          <w:szCs w:val="44"/>
          <w:lang w:eastAsia="zh-CN"/>
        </w:rPr>
        <w:t>“为梦想前行”</w:t>
      </w:r>
    </w:p>
    <w:p>
      <w:pPr>
        <w:jc w:val="center"/>
        <w:rPr>
          <w:rFonts w:hint="eastAsia" w:ascii="微软雅黑" w:hAnsi="微软雅黑" w:eastAsia="微软雅黑" w:cs="微软雅黑"/>
          <w:b/>
          <w:bCs/>
          <w:sz w:val="32"/>
          <w:szCs w:val="32"/>
          <w:lang w:eastAsia="zh-CN"/>
        </w:rPr>
      </w:pPr>
      <w:r>
        <w:rPr>
          <w:rFonts w:hint="eastAsia" w:ascii="微软雅黑" w:hAnsi="微软雅黑" w:eastAsia="微软雅黑" w:cs="微软雅黑"/>
          <w:b/>
          <w:bCs/>
          <w:sz w:val="32"/>
          <w:szCs w:val="32"/>
          <w:lang w:val="en-US" w:eastAsia="zh-CN"/>
        </w:rPr>
        <w:t xml:space="preserve">                    </w:t>
      </w:r>
      <w:r>
        <w:rPr>
          <w:rFonts w:hint="eastAsia" w:ascii="微软雅黑" w:hAnsi="微软雅黑" w:eastAsia="微软雅黑" w:cs="微软雅黑"/>
          <w:b/>
          <w:bCs/>
          <w:sz w:val="32"/>
          <w:szCs w:val="32"/>
          <w:lang w:eastAsia="zh-CN"/>
        </w:rPr>
        <w:t>——</w:t>
      </w:r>
      <w:r>
        <w:rPr>
          <w:rFonts w:hint="eastAsia" w:ascii="微软雅黑" w:hAnsi="微软雅黑" w:eastAsia="微软雅黑" w:cs="微软雅黑"/>
          <w:b/>
          <w:bCs/>
          <w:sz w:val="32"/>
          <w:szCs w:val="32"/>
        </w:rPr>
        <w:t>大汉</w:t>
      </w:r>
      <w:r>
        <w:rPr>
          <w:rFonts w:hint="eastAsia" w:ascii="微软雅黑" w:hAnsi="微软雅黑" w:eastAsia="微软雅黑" w:cs="微软雅黑"/>
          <w:b/>
          <w:bCs/>
          <w:sz w:val="32"/>
          <w:szCs w:val="32"/>
          <w:lang w:eastAsia="zh-CN"/>
        </w:rPr>
        <w:t>集团</w:t>
      </w:r>
      <w:r>
        <w:rPr>
          <w:rFonts w:hint="eastAsia" w:ascii="微软雅黑" w:hAnsi="微软雅黑" w:eastAsia="微软雅黑" w:cs="微软雅黑"/>
          <w:b/>
          <w:bCs/>
          <w:sz w:val="32"/>
          <w:szCs w:val="32"/>
          <w:lang w:val="en-US" w:eastAsia="zh-CN"/>
        </w:rPr>
        <w:t>2018年春季校园</w:t>
      </w:r>
      <w:r>
        <w:rPr>
          <w:rFonts w:hint="eastAsia" w:ascii="微软雅黑" w:hAnsi="微软雅黑" w:eastAsia="微软雅黑" w:cs="微软雅黑"/>
          <w:b/>
          <w:bCs/>
          <w:sz w:val="32"/>
          <w:szCs w:val="32"/>
          <w:lang w:eastAsia="zh-CN"/>
        </w:rPr>
        <w:t>招聘会</w:t>
      </w:r>
    </w:p>
    <w:p>
      <w:pPr>
        <w:jc w:val="center"/>
        <w:rPr>
          <w:rFonts w:hint="eastAsia"/>
          <w:b/>
          <w:bCs/>
          <w:sz w:val="44"/>
          <w:szCs w:val="44"/>
          <w:lang w:eastAsia="zh-CN"/>
        </w:rPr>
      </w:pPr>
    </w:p>
    <w:p>
      <w:pPr>
        <w:jc w:val="lef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一、企业介绍</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175"/>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rPr>
        <w:t>大汉物流股份有限公司是大汉控股集团下属从事钢材贸易和现代物流为主业的大型民营企业，1993年涉足钢材</w:t>
      </w:r>
      <w:r>
        <w:rPr>
          <w:rFonts w:hint="eastAsia" w:ascii="宋体" w:hAnsi="宋体" w:eastAsia="宋体" w:cs="宋体"/>
          <w:sz w:val="24"/>
          <w:szCs w:val="24"/>
          <w:lang w:eastAsia="zh-CN"/>
        </w:rPr>
        <w:t>行业，</w:t>
      </w:r>
      <w:r>
        <w:rPr>
          <w:rFonts w:hint="eastAsia" w:ascii="宋体" w:hAnsi="宋体" w:eastAsia="宋体" w:cs="宋体"/>
          <w:sz w:val="24"/>
          <w:szCs w:val="24"/>
        </w:rPr>
        <w:t>注册资金5亿元人民币，</w:t>
      </w:r>
      <w:r>
        <w:rPr>
          <w:rFonts w:hint="eastAsia" w:ascii="宋体" w:hAnsi="宋体" w:eastAsia="宋体" w:cs="宋体"/>
          <w:sz w:val="24"/>
          <w:szCs w:val="24"/>
          <w:lang w:eastAsia="zh-CN"/>
        </w:rPr>
        <w:t>年销售收入</w:t>
      </w:r>
      <w:r>
        <w:rPr>
          <w:rFonts w:hint="eastAsia" w:ascii="宋体" w:hAnsi="宋体" w:eastAsia="宋体" w:cs="宋体"/>
          <w:sz w:val="24"/>
          <w:szCs w:val="24"/>
          <w:lang w:val="en-US" w:eastAsia="zh-CN"/>
        </w:rPr>
        <w:t>150亿元以上</w:t>
      </w:r>
      <w:r>
        <w:rPr>
          <w:rFonts w:hint="eastAsia" w:ascii="宋体" w:hAnsi="宋体" w:eastAsia="宋体" w:cs="宋体"/>
          <w:sz w:val="24"/>
          <w:szCs w:val="24"/>
        </w:rPr>
        <w:t>。</w:t>
      </w:r>
      <w:r>
        <w:rPr>
          <w:rFonts w:hint="eastAsia" w:ascii="宋体" w:hAnsi="宋体" w:eastAsia="宋体" w:cs="宋体"/>
          <w:sz w:val="24"/>
          <w:szCs w:val="24"/>
          <w:lang w:eastAsia="zh-CN"/>
        </w:rPr>
        <w:t>目前</w:t>
      </w:r>
      <w:r>
        <w:rPr>
          <w:rFonts w:hint="eastAsia" w:ascii="宋体" w:hAnsi="宋体" w:eastAsia="宋体" w:cs="宋体"/>
          <w:sz w:val="24"/>
          <w:szCs w:val="24"/>
        </w:rPr>
        <w:t>总部设湖南长沙，旗下</w:t>
      </w:r>
      <w:r>
        <w:rPr>
          <w:rFonts w:hint="eastAsia" w:ascii="宋体" w:hAnsi="宋体" w:eastAsia="宋体" w:cs="宋体"/>
          <w:sz w:val="24"/>
          <w:szCs w:val="24"/>
          <w:lang w:eastAsia="zh-CN"/>
        </w:rPr>
        <w:t>二</w:t>
      </w:r>
      <w:r>
        <w:rPr>
          <w:rFonts w:hint="eastAsia" w:ascii="宋体" w:hAnsi="宋体" w:eastAsia="宋体" w:cs="宋体"/>
          <w:sz w:val="24"/>
          <w:szCs w:val="24"/>
        </w:rPr>
        <w:t>十余家子公司</w:t>
      </w:r>
      <w:r>
        <w:rPr>
          <w:rFonts w:hint="eastAsia" w:ascii="宋体" w:hAnsi="宋体" w:eastAsia="宋体" w:cs="宋体"/>
          <w:sz w:val="24"/>
          <w:szCs w:val="24"/>
          <w:lang w:eastAsia="zh-CN"/>
        </w:rPr>
        <w:t>，网络遍布</w:t>
      </w:r>
      <w:r>
        <w:rPr>
          <w:rFonts w:hint="eastAsia" w:ascii="宋体" w:hAnsi="宋体" w:eastAsia="宋体" w:cs="宋体"/>
          <w:sz w:val="24"/>
          <w:szCs w:val="24"/>
        </w:rPr>
        <w:t>在湖南、湖北、广州、贵州、</w:t>
      </w:r>
      <w:r>
        <w:rPr>
          <w:rFonts w:hint="eastAsia" w:ascii="宋体" w:hAnsi="宋体" w:eastAsia="宋体" w:cs="宋体"/>
          <w:sz w:val="24"/>
          <w:szCs w:val="24"/>
          <w:lang w:eastAsia="zh-CN"/>
        </w:rPr>
        <w:t>江西</w:t>
      </w:r>
      <w:r>
        <w:rPr>
          <w:rFonts w:hint="eastAsia" w:ascii="宋体" w:hAnsi="宋体" w:eastAsia="宋体" w:cs="宋体"/>
          <w:sz w:val="24"/>
          <w:szCs w:val="24"/>
        </w:rPr>
        <w:t>等</w:t>
      </w:r>
      <w:r>
        <w:rPr>
          <w:rFonts w:hint="eastAsia" w:ascii="宋体" w:hAnsi="宋体" w:eastAsia="宋体" w:cs="宋体"/>
          <w:sz w:val="24"/>
          <w:szCs w:val="24"/>
          <w:lang w:eastAsia="zh-CN"/>
        </w:rPr>
        <w:t>多个</w:t>
      </w:r>
      <w:r>
        <w:rPr>
          <w:rFonts w:hint="eastAsia" w:ascii="宋体" w:hAnsi="宋体" w:eastAsia="宋体" w:cs="宋体"/>
          <w:sz w:val="24"/>
          <w:szCs w:val="24"/>
        </w:rPr>
        <w:t>省市，是全国百强钢材营销领军企业</w:t>
      </w:r>
      <w:r>
        <w:rPr>
          <w:rFonts w:hint="eastAsia" w:ascii="宋体" w:hAnsi="宋体" w:eastAsia="宋体" w:cs="宋体"/>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175"/>
        <w:jc w:val="both"/>
        <w:textAlignment w:val="auto"/>
        <w:outlineLvl w:val="9"/>
        <w:rPr>
          <w:rFonts w:hint="eastAsia" w:ascii="宋体" w:hAnsi="宋体" w:eastAsia="宋体" w:cs="宋体"/>
          <w:sz w:val="24"/>
          <w:szCs w:val="24"/>
          <w:lang w:eastAsia="zh-CN"/>
        </w:rPr>
      </w:pPr>
      <w:r>
        <w:rPr>
          <w:rFonts w:hint="eastAsia" w:ascii="宋体" w:hAnsi="宋体" w:eastAsia="宋体" w:cs="宋体"/>
          <w:b w:val="0"/>
          <w:i w:val="0"/>
          <w:caps w:val="0"/>
          <w:color w:val="auto"/>
          <w:spacing w:val="0"/>
          <w:kern w:val="0"/>
          <w:sz w:val="24"/>
          <w:szCs w:val="24"/>
          <w:shd w:val="clear" w:color="auto" w:fill="FFFFFF"/>
          <w:lang w:val="en-US" w:eastAsia="zh-CN" w:bidi="ar"/>
        </w:rPr>
        <w:t>母公司大汉控股集团有限公司是“中国企业500强”、“中国服务业500强”、“中国民营企业500强”、“湖南省100强企业”。</w:t>
      </w:r>
      <w:r>
        <w:rPr>
          <w:rFonts w:hint="eastAsia" w:ascii="宋体" w:hAnsi="宋体" w:eastAsia="宋体" w:cs="宋体"/>
          <w:sz w:val="24"/>
          <w:szCs w:val="24"/>
          <w:lang w:eastAsia="zh-CN"/>
        </w:rPr>
        <w:t>大汉物流股份有限公司是</w:t>
      </w:r>
      <w:r>
        <w:rPr>
          <w:rFonts w:hint="eastAsia" w:ascii="宋体" w:hAnsi="宋体" w:eastAsia="宋体" w:cs="宋体"/>
          <w:sz w:val="24"/>
          <w:szCs w:val="24"/>
        </w:rPr>
        <w:t>AAAAA级综合型物流企业</w:t>
      </w:r>
      <w:r>
        <w:rPr>
          <w:rFonts w:hint="eastAsia" w:ascii="宋体" w:hAnsi="宋体" w:eastAsia="宋体" w:cs="宋体"/>
          <w:sz w:val="24"/>
          <w:szCs w:val="24"/>
          <w:lang w:eastAsia="zh-CN"/>
        </w:rPr>
        <w:t>、</w:t>
      </w:r>
      <w:r>
        <w:rPr>
          <w:rFonts w:hint="eastAsia" w:ascii="宋体" w:hAnsi="宋体" w:eastAsia="宋体" w:cs="宋体"/>
          <w:sz w:val="24"/>
          <w:szCs w:val="24"/>
        </w:rPr>
        <w:t>AAAAA级</w:t>
      </w:r>
      <w:r>
        <w:rPr>
          <w:rFonts w:hint="eastAsia" w:ascii="宋体" w:hAnsi="宋体" w:eastAsia="宋体" w:cs="宋体"/>
          <w:sz w:val="24"/>
          <w:szCs w:val="24"/>
          <w:lang w:eastAsia="zh-CN"/>
        </w:rPr>
        <w:t>钢铁流通</w:t>
      </w:r>
      <w:r>
        <w:rPr>
          <w:rFonts w:hint="eastAsia" w:ascii="宋体" w:hAnsi="宋体" w:eastAsia="宋体" w:cs="宋体"/>
          <w:sz w:val="24"/>
          <w:szCs w:val="24"/>
        </w:rPr>
        <w:t>企业</w:t>
      </w:r>
      <w:r>
        <w:rPr>
          <w:rFonts w:hint="eastAsia" w:ascii="宋体" w:hAnsi="宋体" w:eastAsia="宋体" w:cs="宋体"/>
          <w:sz w:val="24"/>
          <w:szCs w:val="24"/>
          <w:lang w:eastAsia="zh-CN"/>
        </w:rPr>
        <w:t>、中国钢铁</w:t>
      </w:r>
      <w:r>
        <w:rPr>
          <w:rFonts w:hint="eastAsia" w:ascii="宋体" w:hAnsi="宋体" w:eastAsia="宋体" w:cs="宋体"/>
          <w:sz w:val="24"/>
          <w:szCs w:val="24"/>
          <w:lang w:val="en-US" w:eastAsia="zh-CN"/>
        </w:rPr>
        <w:t>50强企业</w:t>
      </w:r>
      <w:r>
        <w:rPr>
          <w:rFonts w:hint="eastAsia" w:ascii="宋体" w:hAnsi="宋体" w:eastAsia="宋体" w:cs="宋体"/>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175"/>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大汉物流股份有限公司立足大宗商品行业，站在“中国钢铁供应链服务集成商”视角，积极打造“大大买钢网”互联网平台，整合资源，聚焦产业，积极建设客户、合作伙伴、员工、合伙人、股东的多方共赢平台，共同为梦想前行。</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20" w:firstLineChars="175"/>
        <w:jc w:val="both"/>
        <w:textAlignment w:val="auto"/>
        <w:outlineLvl w:val="9"/>
        <w:rPr>
          <w:rFonts w:hint="eastAsia" w:ascii="宋体" w:hAnsi="宋体" w:eastAsia="宋体" w:cs="宋体"/>
          <w:sz w:val="24"/>
          <w:szCs w:val="24"/>
          <w:lang w:val="en-US" w:eastAsia="zh-CN"/>
        </w:rPr>
      </w:pPr>
    </w:p>
    <w:p>
      <w:pPr>
        <w:widowControl/>
        <w:tabs>
          <w:tab w:val="left" w:pos="750"/>
        </w:tabs>
        <w:spacing w:line="360" w:lineRule="auto"/>
        <w:ind w:left="-13" w:leftChars="-6" w:firstLine="17" w:firstLineChars="7"/>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二、招聘岗位</w:t>
      </w:r>
    </w:p>
    <w:tbl>
      <w:tblPr>
        <w:tblStyle w:val="6"/>
        <w:tblW w:w="9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1500"/>
        <w:gridCol w:w="5220"/>
        <w:gridCol w:w="18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44" w:hRule="atLeast"/>
        </w:trPr>
        <w:tc>
          <w:tcPr>
            <w:tcW w:w="794" w:type="dxa"/>
            <w:vAlign w:val="center"/>
          </w:tcPr>
          <w:p>
            <w:pPr>
              <w:widowControl/>
              <w:tabs>
                <w:tab w:val="left" w:pos="750"/>
              </w:tabs>
              <w:spacing w:line="360" w:lineRule="auto"/>
              <w:jc w:val="center"/>
              <w:rPr>
                <w:rFonts w:hint="eastAsia" w:ascii="宋体" w:hAnsi="宋体" w:eastAsia="宋体" w:cs="宋体"/>
                <w:b/>
                <w:bCs/>
                <w:sz w:val="24"/>
                <w:szCs w:val="24"/>
                <w:vertAlign w:val="baseline"/>
                <w:lang w:eastAsia="zh-CN"/>
              </w:rPr>
            </w:pPr>
            <w:r>
              <w:rPr>
                <w:rFonts w:hint="eastAsia" w:ascii="宋体" w:hAnsi="宋体" w:eastAsia="宋体" w:cs="宋体"/>
                <w:b/>
                <w:bCs/>
                <w:sz w:val="24"/>
                <w:szCs w:val="24"/>
                <w:lang w:eastAsia="zh-CN"/>
              </w:rPr>
              <w:t>序号</w:t>
            </w:r>
          </w:p>
        </w:tc>
        <w:tc>
          <w:tcPr>
            <w:tcW w:w="1500" w:type="dxa"/>
            <w:vAlign w:val="center"/>
          </w:tcPr>
          <w:p>
            <w:pPr>
              <w:widowControl/>
              <w:tabs>
                <w:tab w:val="left" w:pos="750"/>
              </w:tabs>
              <w:spacing w:line="360" w:lineRule="auto"/>
              <w:jc w:val="center"/>
              <w:rPr>
                <w:rFonts w:hint="eastAsia" w:ascii="宋体" w:hAnsi="宋体" w:eastAsia="宋体" w:cs="宋体"/>
                <w:b/>
                <w:bCs/>
                <w:sz w:val="24"/>
                <w:szCs w:val="24"/>
                <w:vertAlign w:val="baseline"/>
                <w:lang w:eastAsia="zh-CN"/>
              </w:rPr>
            </w:pPr>
            <w:r>
              <w:rPr>
                <w:rFonts w:hint="eastAsia" w:ascii="宋体" w:hAnsi="宋体" w:eastAsia="宋体" w:cs="宋体"/>
                <w:b/>
                <w:bCs/>
                <w:sz w:val="24"/>
                <w:szCs w:val="24"/>
                <w:vertAlign w:val="baseline"/>
                <w:lang w:eastAsia="zh-CN"/>
              </w:rPr>
              <w:t>招聘岗位</w:t>
            </w:r>
          </w:p>
        </w:tc>
        <w:tc>
          <w:tcPr>
            <w:tcW w:w="5220" w:type="dxa"/>
            <w:vAlign w:val="center"/>
          </w:tcPr>
          <w:p>
            <w:pPr>
              <w:widowControl/>
              <w:tabs>
                <w:tab w:val="left" w:pos="750"/>
              </w:tabs>
              <w:spacing w:line="360" w:lineRule="auto"/>
              <w:jc w:val="center"/>
              <w:rPr>
                <w:rFonts w:hint="eastAsia" w:ascii="宋体" w:hAnsi="宋体" w:eastAsia="宋体" w:cs="宋体"/>
                <w:b/>
                <w:bCs/>
                <w:sz w:val="24"/>
                <w:szCs w:val="24"/>
                <w:vertAlign w:val="baseline"/>
                <w:lang w:eastAsia="zh-CN"/>
              </w:rPr>
            </w:pPr>
            <w:r>
              <w:rPr>
                <w:rFonts w:hint="eastAsia" w:ascii="宋体" w:hAnsi="宋体" w:eastAsia="宋体" w:cs="宋体"/>
                <w:b/>
                <w:bCs/>
                <w:sz w:val="24"/>
                <w:szCs w:val="24"/>
                <w:vertAlign w:val="baseline"/>
                <w:lang w:eastAsia="zh-CN"/>
              </w:rPr>
              <w:t>专业要求</w:t>
            </w:r>
          </w:p>
        </w:tc>
        <w:tc>
          <w:tcPr>
            <w:tcW w:w="1845" w:type="dxa"/>
            <w:vAlign w:val="center"/>
          </w:tcPr>
          <w:p>
            <w:pPr>
              <w:widowControl/>
              <w:tabs>
                <w:tab w:val="left" w:pos="750"/>
              </w:tabs>
              <w:spacing w:line="360" w:lineRule="auto"/>
              <w:jc w:val="center"/>
              <w:rPr>
                <w:rFonts w:hint="eastAsia" w:ascii="宋体" w:hAnsi="宋体" w:eastAsia="宋体" w:cs="宋体"/>
                <w:b/>
                <w:bCs/>
                <w:sz w:val="24"/>
                <w:szCs w:val="24"/>
                <w:vertAlign w:val="baseline"/>
                <w:lang w:eastAsia="zh-CN"/>
              </w:rPr>
            </w:pPr>
            <w:r>
              <w:rPr>
                <w:rFonts w:hint="eastAsia" w:ascii="宋体" w:hAnsi="宋体" w:eastAsia="宋体" w:cs="宋体"/>
                <w:b/>
                <w:bCs/>
                <w:sz w:val="24"/>
                <w:szCs w:val="24"/>
                <w:vertAlign w:val="baseline"/>
                <w:lang w:eastAsia="zh-CN"/>
              </w:rPr>
              <w:t>工作地点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1" w:hRule="atLeast"/>
        </w:trPr>
        <w:tc>
          <w:tcPr>
            <w:tcW w:w="794" w:type="dxa"/>
            <w:vAlign w:val="center"/>
          </w:tcPr>
          <w:p>
            <w:pPr>
              <w:widowControl/>
              <w:tabs>
                <w:tab w:val="left" w:pos="750"/>
              </w:tabs>
              <w:spacing w:line="360"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1</w:t>
            </w:r>
          </w:p>
        </w:tc>
        <w:tc>
          <w:tcPr>
            <w:tcW w:w="1500" w:type="dxa"/>
            <w:vAlign w:val="center"/>
          </w:tcPr>
          <w:p>
            <w:pPr>
              <w:widowControl/>
              <w:tabs>
                <w:tab w:val="left" w:pos="750"/>
              </w:tabs>
              <w:spacing w:line="360" w:lineRule="auto"/>
              <w:jc w:val="center"/>
              <w:rPr>
                <w:rFonts w:hint="eastAsia" w:ascii="宋体" w:hAnsi="宋体" w:eastAsia="宋体" w:cs="宋体"/>
                <w:b w:val="0"/>
                <w:bCs w:val="0"/>
                <w:sz w:val="24"/>
                <w:szCs w:val="24"/>
                <w:vertAlign w:val="baseline"/>
                <w:lang w:eastAsia="zh-CN"/>
              </w:rPr>
            </w:pPr>
            <w:r>
              <w:rPr>
                <w:rFonts w:hint="eastAsia" w:ascii="宋体" w:hAnsi="宋体" w:eastAsia="宋体" w:cs="宋体"/>
                <w:b w:val="0"/>
                <w:bCs w:val="0"/>
                <w:sz w:val="24"/>
                <w:szCs w:val="24"/>
                <w:vertAlign w:val="baseline"/>
                <w:lang w:eastAsia="zh-CN"/>
              </w:rPr>
              <w:t>销售类</w:t>
            </w:r>
          </w:p>
        </w:tc>
        <w:tc>
          <w:tcPr>
            <w:tcW w:w="5220" w:type="dxa"/>
            <w:vAlign w:val="center"/>
          </w:tcPr>
          <w:p>
            <w:pPr>
              <w:widowControl/>
              <w:tabs>
                <w:tab w:val="left" w:pos="750"/>
              </w:tabs>
              <w:spacing w:line="360" w:lineRule="auto"/>
              <w:jc w:val="left"/>
              <w:rPr>
                <w:rFonts w:hint="eastAsia" w:ascii="宋体" w:hAnsi="宋体" w:eastAsia="宋体" w:cs="宋体"/>
                <w:b w:val="0"/>
                <w:bCs w:val="0"/>
                <w:sz w:val="24"/>
                <w:szCs w:val="24"/>
                <w:vertAlign w:val="baseline"/>
                <w:lang w:eastAsia="zh-CN"/>
              </w:rPr>
            </w:pPr>
            <w:r>
              <w:rPr>
                <w:rFonts w:hint="eastAsia" w:ascii="宋体" w:hAnsi="宋体" w:eastAsia="宋体" w:cs="宋体"/>
                <w:b w:val="0"/>
                <w:bCs w:val="0"/>
                <w:sz w:val="24"/>
                <w:szCs w:val="24"/>
                <w:vertAlign w:val="baseline"/>
                <w:lang w:eastAsia="zh-CN"/>
              </w:rPr>
              <w:t>市场营销类、国际贸易类、经济类、财务类、物流管理类、心理学、其它专业等</w:t>
            </w:r>
          </w:p>
        </w:tc>
        <w:tc>
          <w:tcPr>
            <w:tcW w:w="1845" w:type="dxa"/>
            <w:vMerge w:val="restart"/>
            <w:vAlign w:val="center"/>
          </w:tcPr>
          <w:p>
            <w:pPr>
              <w:widowControl/>
              <w:tabs>
                <w:tab w:val="left" w:pos="750"/>
              </w:tabs>
              <w:spacing w:line="360" w:lineRule="auto"/>
              <w:jc w:val="center"/>
              <w:rPr>
                <w:rFonts w:hint="eastAsia" w:ascii="宋体" w:hAnsi="宋体" w:eastAsia="宋体" w:cs="宋体"/>
                <w:b w:val="0"/>
                <w:bCs w:val="0"/>
                <w:sz w:val="24"/>
                <w:szCs w:val="24"/>
                <w:vertAlign w:val="baseline"/>
                <w:lang w:eastAsia="zh-CN"/>
              </w:rPr>
            </w:pPr>
            <w:r>
              <w:rPr>
                <w:rFonts w:hint="eastAsia" w:ascii="宋体" w:hAnsi="宋体" w:eastAsia="宋体" w:cs="宋体"/>
                <w:b w:val="0"/>
                <w:bCs w:val="0"/>
                <w:color w:val="auto"/>
                <w:kern w:val="0"/>
                <w:sz w:val="24"/>
                <w:szCs w:val="24"/>
                <w:lang w:eastAsia="zh-CN"/>
              </w:rPr>
              <w:t>湖南省内各地级市、武汉、南昌、贵州、广州等全国各子分公司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9" w:hRule="atLeast"/>
        </w:trPr>
        <w:tc>
          <w:tcPr>
            <w:tcW w:w="794" w:type="dxa"/>
            <w:vAlign w:val="center"/>
          </w:tcPr>
          <w:p>
            <w:pPr>
              <w:widowControl/>
              <w:tabs>
                <w:tab w:val="left" w:pos="750"/>
              </w:tabs>
              <w:spacing w:line="360"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2</w:t>
            </w:r>
          </w:p>
        </w:tc>
        <w:tc>
          <w:tcPr>
            <w:tcW w:w="1500" w:type="dxa"/>
            <w:vAlign w:val="center"/>
          </w:tcPr>
          <w:p>
            <w:pPr>
              <w:widowControl/>
              <w:tabs>
                <w:tab w:val="left" w:pos="750"/>
              </w:tabs>
              <w:spacing w:line="360" w:lineRule="auto"/>
              <w:jc w:val="center"/>
              <w:rPr>
                <w:rFonts w:hint="eastAsia" w:ascii="宋体" w:hAnsi="宋体" w:eastAsia="宋体" w:cs="宋体"/>
                <w:b w:val="0"/>
                <w:bCs w:val="0"/>
                <w:sz w:val="24"/>
                <w:szCs w:val="24"/>
                <w:vertAlign w:val="baseline"/>
                <w:lang w:eastAsia="zh-CN"/>
              </w:rPr>
            </w:pPr>
            <w:r>
              <w:rPr>
                <w:rFonts w:hint="eastAsia" w:ascii="宋体" w:hAnsi="宋体" w:eastAsia="宋体" w:cs="宋体"/>
                <w:b w:val="0"/>
                <w:bCs w:val="0"/>
                <w:sz w:val="24"/>
                <w:szCs w:val="24"/>
                <w:vertAlign w:val="baseline"/>
                <w:lang w:eastAsia="zh-CN"/>
              </w:rPr>
              <w:t>运营类</w:t>
            </w:r>
          </w:p>
        </w:tc>
        <w:tc>
          <w:tcPr>
            <w:tcW w:w="5220" w:type="dxa"/>
            <w:vAlign w:val="center"/>
          </w:tcPr>
          <w:p>
            <w:pPr>
              <w:widowControl/>
              <w:tabs>
                <w:tab w:val="left" w:pos="750"/>
              </w:tabs>
              <w:spacing w:line="360" w:lineRule="auto"/>
              <w:jc w:val="left"/>
              <w:rPr>
                <w:rFonts w:hint="eastAsia" w:ascii="宋体" w:hAnsi="宋体" w:eastAsia="宋体" w:cs="宋体"/>
                <w:b w:val="0"/>
                <w:bCs w:val="0"/>
                <w:sz w:val="24"/>
                <w:szCs w:val="24"/>
                <w:vertAlign w:val="baseline"/>
                <w:lang w:eastAsia="zh-CN"/>
              </w:rPr>
            </w:pPr>
            <w:r>
              <w:rPr>
                <w:rFonts w:hint="eastAsia" w:ascii="宋体" w:hAnsi="宋体" w:eastAsia="宋体" w:cs="宋体"/>
                <w:b w:val="0"/>
                <w:bCs w:val="0"/>
                <w:sz w:val="24"/>
                <w:szCs w:val="24"/>
                <w:vertAlign w:val="baseline"/>
                <w:lang w:eastAsia="zh-CN"/>
              </w:rPr>
              <w:t>财务、金融、统计、法律、经济、市场营销等</w:t>
            </w:r>
          </w:p>
        </w:tc>
        <w:tc>
          <w:tcPr>
            <w:tcW w:w="1845" w:type="dxa"/>
            <w:vMerge w:val="continue"/>
            <w:vAlign w:val="center"/>
          </w:tcPr>
          <w:p>
            <w:pPr>
              <w:widowControl/>
              <w:tabs>
                <w:tab w:val="left" w:pos="750"/>
              </w:tabs>
              <w:spacing w:line="360" w:lineRule="auto"/>
              <w:jc w:val="center"/>
              <w:rPr>
                <w:rFonts w:hint="eastAsia" w:ascii="宋体" w:hAnsi="宋体" w:eastAsia="宋体" w:cs="宋体"/>
                <w:b w:val="0"/>
                <w:bCs w:val="0"/>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7" w:hRule="atLeast"/>
        </w:trPr>
        <w:tc>
          <w:tcPr>
            <w:tcW w:w="794" w:type="dxa"/>
            <w:vAlign w:val="center"/>
          </w:tcPr>
          <w:p>
            <w:pPr>
              <w:widowControl/>
              <w:tabs>
                <w:tab w:val="left" w:pos="750"/>
              </w:tabs>
              <w:spacing w:line="360"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3</w:t>
            </w:r>
          </w:p>
        </w:tc>
        <w:tc>
          <w:tcPr>
            <w:tcW w:w="1500" w:type="dxa"/>
            <w:vAlign w:val="center"/>
          </w:tcPr>
          <w:p>
            <w:pPr>
              <w:widowControl/>
              <w:tabs>
                <w:tab w:val="left" w:pos="750"/>
              </w:tabs>
              <w:spacing w:line="360" w:lineRule="auto"/>
              <w:jc w:val="center"/>
              <w:rPr>
                <w:rFonts w:hint="eastAsia" w:ascii="宋体" w:hAnsi="宋体" w:eastAsia="宋体" w:cs="宋体"/>
                <w:b w:val="0"/>
                <w:bCs w:val="0"/>
                <w:sz w:val="24"/>
                <w:szCs w:val="24"/>
                <w:vertAlign w:val="baseline"/>
                <w:lang w:eastAsia="zh-CN"/>
              </w:rPr>
            </w:pPr>
            <w:r>
              <w:rPr>
                <w:rFonts w:hint="eastAsia" w:ascii="宋体" w:hAnsi="宋体" w:eastAsia="宋体" w:cs="宋体"/>
                <w:b w:val="0"/>
                <w:bCs w:val="0"/>
                <w:sz w:val="24"/>
                <w:szCs w:val="24"/>
                <w:vertAlign w:val="baseline"/>
                <w:lang w:eastAsia="zh-CN"/>
              </w:rPr>
              <w:t>财务类</w:t>
            </w:r>
          </w:p>
        </w:tc>
        <w:tc>
          <w:tcPr>
            <w:tcW w:w="5220" w:type="dxa"/>
            <w:vAlign w:val="center"/>
          </w:tcPr>
          <w:p>
            <w:pPr>
              <w:widowControl/>
              <w:tabs>
                <w:tab w:val="left" w:pos="750"/>
              </w:tabs>
              <w:spacing w:line="360" w:lineRule="auto"/>
              <w:jc w:val="left"/>
              <w:rPr>
                <w:rFonts w:hint="eastAsia" w:ascii="宋体" w:hAnsi="宋体" w:eastAsia="宋体" w:cs="宋体"/>
                <w:b w:val="0"/>
                <w:bCs w:val="0"/>
                <w:sz w:val="24"/>
                <w:szCs w:val="24"/>
                <w:vertAlign w:val="baseline"/>
                <w:lang w:eastAsia="zh-CN"/>
              </w:rPr>
            </w:pPr>
            <w:r>
              <w:rPr>
                <w:rFonts w:hint="eastAsia" w:ascii="宋体" w:hAnsi="宋体" w:eastAsia="宋体" w:cs="宋体"/>
                <w:b w:val="0"/>
                <w:bCs w:val="0"/>
                <w:sz w:val="24"/>
                <w:szCs w:val="24"/>
                <w:vertAlign w:val="baseline"/>
                <w:lang w:eastAsia="zh-CN"/>
              </w:rPr>
              <w:t>财务管理、会计学、金融学、经济学等</w:t>
            </w:r>
          </w:p>
        </w:tc>
        <w:tc>
          <w:tcPr>
            <w:tcW w:w="1845" w:type="dxa"/>
            <w:vMerge w:val="continue"/>
            <w:vAlign w:val="center"/>
          </w:tcPr>
          <w:p>
            <w:pPr>
              <w:widowControl/>
              <w:tabs>
                <w:tab w:val="left" w:pos="750"/>
              </w:tabs>
              <w:spacing w:line="360" w:lineRule="auto"/>
              <w:jc w:val="center"/>
              <w:rPr>
                <w:rFonts w:hint="eastAsia" w:ascii="宋体" w:hAnsi="宋体" w:eastAsia="宋体" w:cs="宋体"/>
                <w:b w:val="0"/>
                <w:bCs w:val="0"/>
                <w:sz w:val="24"/>
                <w:szCs w:val="24"/>
                <w:vertAlign w:val="baseline"/>
                <w:lang w:eastAsia="zh-CN"/>
              </w:rPr>
            </w:pPr>
          </w:p>
        </w:tc>
      </w:tr>
    </w:tbl>
    <w:p>
      <w:pPr>
        <w:widowControl/>
        <w:numPr>
          <w:ilvl w:val="0"/>
          <w:numId w:val="0"/>
        </w:numPr>
        <w:tabs>
          <w:tab w:val="left" w:pos="750"/>
        </w:tabs>
        <w:spacing w:line="360" w:lineRule="auto"/>
        <w:ind w:leftChars="-95"/>
        <w:rPr>
          <w:rFonts w:hint="eastAsia" w:ascii="宋体" w:hAnsi="宋体" w:eastAsia="宋体" w:cs="宋体"/>
          <w:b/>
          <w:bCs/>
          <w:sz w:val="24"/>
          <w:szCs w:val="24"/>
          <w:lang w:eastAsia="zh-CN"/>
        </w:rPr>
      </w:pPr>
    </w:p>
    <w:p>
      <w:pPr>
        <w:widowControl/>
        <w:numPr>
          <w:ilvl w:val="0"/>
          <w:numId w:val="1"/>
        </w:numPr>
        <w:tabs>
          <w:tab w:val="left" w:pos="750"/>
        </w:tabs>
        <w:spacing w:line="360" w:lineRule="auto"/>
        <w:ind w:left="-17" w:leftChars="-8" w:firstLine="17" w:firstLineChars="7"/>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岗位要求</w:t>
      </w:r>
    </w:p>
    <w:p>
      <w:pPr>
        <w:widowControl/>
        <w:numPr>
          <w:ilvl w:val="0"/>
          <w:numId w:val="2"/>
        </w:numPr>
        <w:tabs>
          <w:tab w:val="left" w:pos="750"/>
        </w:tabs>
        <w:spacing w:line="360" w:lineRule="auto"/>
        <w:ind w:leftChars="-1"/>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具有扎实的专业功底和丰富的知识面，品学兼优，学习能力强；</w:t>
      </w:r>
    </w:p>
    <w:p>
      <w:pPr>
        <w:widowControl/>
        <w:numPr>
          <w:ilvl w:val="0"/>
          <w:numId w:val="2"/>
        </w:numPr>
        <w:tabs>
          <w:tab w:val="left" w:pos="750"/>
        </w:tabs>
        <w:spacing w:line="360" w:lineRule="auto"/>
        <w:ind w:leftChars="-1"/>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具备良好的沟通能力和团队协作意识，创新能力强；</w:t>
      </w:r>
    </w:p>
    <w:p>
      <w:pPr>
        <w:widowControl/>
        <w:numPr>
          <w:ilvl w:val="0"/>
          <w:numId w:val="2"/>
        </w:numPr>
        <w:tabs>
          <w:tab w:val="left" w:pos="750"/>
        </w:tabs>
        <w:spacing w:line="360" w:lineRule="auto"/>
        <w:ind w:leftChars="-1"/>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具备较强自我管理能力和抗压能力，自我目标感强；</w:t>
      </w:r>
    </w:p>
    <w:p>
      <w:pPr>
        <w:widowControl/>
        <w:numPr>
          <w:ilvl w:val="0"/>
          <w:numId w:val="2"/>
        </w:numPr>
        <w:tabs>
          <w:tab w:val="left" w:pos="750"/>
        </w:tabs>
        <w:spacing w:line="360" w:lineRule="auto"/>
        <w:ind w:leftChars="-1"/>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具有一定的社会实践和学校社团经验，有学生会或班级管理工作经验优先。</w:t>
      </w:r>
    </w:p>
    <w:p>
      <w:pPr>
        <w:widowControl/>
        <w:numPr>
          <w:ilvl w:val="0"/>
          <w:numId w:val="0"/>
        </w:numPr>
        <w:tabs>
          <w:tab w:val="left" w:pos="750"/>
        </w:tabs>
        <w:spacing w:line="360" w:lineRule="auto"/>
        <w:rPr>
          <w:rFonts w:hint="eastAsia" w:ascii="宋体" w:hAnsi="宋体" w:eastAsia="宋体" w:cs="宋体"/>
          <w:b w:val="0"/>
          <w:bCs w:val="0"/>
          <w:sz w:val="24"/>
          <w:szCs w:val="24"/>
          <w:lang w:val="en-US" w:eastAsia="zh-CN"/>
        </w:rPr>
      </w:pPr>
    </w:p>
    <w:p>
      <w:pPr>
        <w:widowControl/>
        <w:numPr>
          <w:ilvl w:val="0"/>
          <w:numId w:val="3"/>
        </w:numPr>
        <w:tabs>
          <w:tab w:val="left" w:pos="750"/>
        </w:tabs>
        <w:spacing w:line="360" w:lineRule="auto"/>
        <w:ind w:left="-17" w:leftChars="-8" w:firstLine="17" w:firstLineChars="7"/>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薪资待遇</w:t>
      </w:r>
    </w:p>
    <w:p>
      <w:pPr>
        <w:widowControl/>
        <w:numPr>
          <w:ilvl w:val="0"/>
          <w:numId w:val="0"/>
        </w:numPr>
        <w:tabs>
          <w:tab w:val="left" w:pos="750"/>
        </w:tabs>
        <w:spacing w:line="360" w:lineRule="auto"/>
        <w:ind w:left="0" w:leftChars="0" w:firstLine="420" w:firstLineChars="175"/>
        <w:rPr>
          <w:rFonts w:hint="eastAsia" w:ascii="宋体" w:hAnsi="宋体" w:eastAsia="宋体" w:cs="宋体"/>
          <w:color w:val="auto"/>
          <w:sz w:val="24"/>
          <w:szCs w:val="24"/>
          <w:lang w:val="en-US" w:eastAsia="zh-CN"/>
        </w:rPr>
      </w:pPr>
      <w:r>
        <w:rPr>
          <w:rFonts w:hint="eastAsia" w:ascii="宋体" w:hAnsi="宋体" w:eastAsia="宋体" w:cs="宋体"/>
          <w:b w:val="0"/>
          <w:bCs w:val="0"/>
          <w:sz w:val="24"/>
          <w:szCs w:val="24"/>
          <w:lang w:val="en-US" w:eastAsia="zh-CN"/>
        </w:rPr>
        <w:t>1、大学生第一年保底薪资：985/211大学生</w:t>
      </w:r>
      <w:r>
        <w:rPr>
          <w:rFonts w:hint="eastAsia" w:ascii="宋体" w:hAnsi="宋体" w:eastAsia="宋体" w:cs="宋体"/>
          <w:color w:val="auto"/>
          <w:sz w:val="24"/>
          <w:szCs w:val="24"/>
          <w:lang w:val="en-US" w:eastAsia="zh-CN"/>
        </w:rPr>
        <w:t>年收入8万以上，一本、二本院校业务岗位学生年收入6万以上，职能岗位年收入5万以上，大专院校学生年收入4.5万以上。</w:t>
      </w:r>
    </w:p>
    <w:p>
      <w:pPr>
        <w:widowControl/>
        <w:numPr>
          <w:ilvl w:val="0"/>
          <w:numId w:val="4"/>
        </w:numPr>
        <w:tabs>
          <w:tab w:val="left" w:pos="750"/>
        </w:tabs>
        <w:spacing w:line="360" w:lineRule="auto"/>
        <w:ind w:left="0" w:leftChars="0" w:firstLine="420" w:firstLineChars="175"/>
        <w:rPr>
          <w:rFonts w:hint="eastAsia" w:ascii="宋体" w:hAnsi="宋体" w:eastAsia="宋体" w:cs="宋体"/>
          <w:color w:val="auto"/>
          <w:sz w:val="24"/>
          <w:szCs w:val="24"/>
          <w:lang w:val="en-US" w:eastAsia="zh-CN"/>
        </w:rPr>
      </w:pPr>
      <w:r>
        <w:rPr>
          <w:rFonts w:hint="eastAsia" w:ascii="宋体" w:hAnsi="宋体" w:eastAsia="宋体" w:cs="宋体"/>
          <w:b w:val="0"/>
          <w:bCs w:val="0"/>
          <w:sz w:val="24"/>
          <w:szCs w:val="24"/>
          <w:lang w:val="en-US" w:eastAsia="zh-CN"/>
        </w:rPr>
        <w:t>大学生</w:t>
      </w:r>
      <w:r>
        <w:rPr>
          <w:rFonts w:hint="eastAsia" w:ascii="宋体" w:hAnsi="宋体" w:eastAsia="宋体" w:cs="宋体"/>
          <w:color w:val="auto"/>
          <w:sz w:val="24"/>
          <w:szCs w:val="24"/>
          <w:lang w:val="en-US" w:eastAsia="zh-CN"/>
        </w:rPr>
        <w:t>第二年薪资：根据第一年见习期综合考核，重新确定薪资级别，并提供具有行业竞争力的薪酬待遇。</w:t>
      </w:r>
      <w:bookmarkStart w:id="0" w:name="_GoBack"/>
      <w:bookmarkEnd w:id="0"/>
    </w:p>
    <w:p>
      <w:pPr>
        <w:widowControl/>
        <w:numPr>
          <w:ilvl w:val="0"/>
          <w:numId w:val="4"/>
        </w:numPr>
        <w:tabs>
          <w:tab w:val="left" w:pos="750"/>
        </w:tabs>
        <w:spacing w:line="360" w:lineRule="auto"/>
        <w:ind w:left="0" w:leftChars="0" w:firstLine="420" w:firstLineChars="175"/>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提供六险一金、包吃包住、带薪旅游、带薪年假、健康体检、通讯补贴、交通补贴节假日现金福利、生日福利等。</w:t>
      </w:r>
    </w:p>
    <w:p>
      <w:pPr>
        <w:widowControl/>
        <w:numPr>
          <w:ilvl w:val="0"/>
          <w:numId w:val="4"/>
        </w:numPr>
        <w:tabs>
          <w:tab w:val="left" w:pos="750"/>
        </w:tabs>
        <w:spacing w:line="360" w:lineRule="auto"/>
        <w:ind w:left="0" w:leftChars="0" w:firstLine="420" w:firstLineChars="175"/>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提供开放的正能量的平台，广阔的晋升发展空间，为员工职业生涯做好规划。</w:t>
      </w:r>
    </w:p>
    <w:p>
      <w:pPr>
        <w:widowControl/>
        <w:numPr>
          <w:ilvl w:val="0"/>
          <w:numId w:val="0"/>
        </w:numPr>
        <w:tabs>
          <w:tab w:val="left" w:pos="750"/>
        </w:tabs>
        <w:spacing w:line="360" w:lineRule="auto"/>
        <w:rPr>
          <w:rFonts w:hint="eastAsia" w:ascii="宋体" w:hAnsi="宋体" w:eastAsia="宋体" w:cs="宋体"/>
          <w:color w:val="auto"/>
          <w:sz w:val="24"/>
          <w:szCs w:val="24"/>
          <w:lang w:val="en-US" w:eastAsia="zh-CN"/>
        </w:rPr>
      </w:pPr>
    </w:p>
    <w:p>
      <w:pPr>
        <w:widowControl/>
        <w:numPr>
          <w:ilvl w:val="0"/>
          <w:numId w:val="5"/>
        </w:numPr>
        <w:tabs>
          <w:tab w:val="left" w:pos="750"/>
        </w:tabs>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应聘流程</w:t>
      </w:r>
    </w:p>
    <w:p>
      <w:pPr>
        <w:rPr>
          <w:rFonts w:hint="eastAsia" w:ascii="宋体" w:hAnsi="宋体" w:eastAsia="宋体" w:cs="宋体"/>
          <w:color w:val="auto"/>
          <w:szCs w:val="24"/>
          <w:lang w:val="en-US" w:eastAsia="zh-CN"/>
        </w:rPr>
      </w:pPr>
      <w:r>
        <w:rPr>
          <w:rFonts w:hint="eastAsia" w:ascii="宋体" w:hAnsi="宋体" w:eastAsia="宋体" w:cs="宋体"/>
          <w:color w:val="auto"/>
          <w:sz w:val="24"/>
          <w:szCs w:val="24"/>
          <w:lang w:val="en-US" w:eastAsia="zh-CN"/>
        </w:rPr>
        <w:t>投递简历</w:t>
      </w:r>
      <w:r>
        <w:rPr>
          <w:rFonts w:hint="eastAsia" w:ascii="仿宋" w:hAnsi="仿宋" w:eastAsia="仿宋" w:cs="仿宋"/>
          <w:lang w:val="en-US" w:eastAsia="zh-CN"/>
        </w:rPr>
        <w:t>（</w:t>
      </w:r>
      <w:r>
        <w:rPr>
          <w:rFonts w:hint="eastAsia" w:ascii="仿宋" w:hAnsi="仿宋" w:eastAsia="仿宋" w:cs="仿宋"/>
        </w:rPr>
        <w:t>校招现场投递；网上投递（智联、猎聘、公司官网）</w:t>
      </w:r>
      <w:r>
        <w:rPr>
          <w:rFonts w:hint="eastAsia" w:ascii="仿宋" w:hAnsi="仿宋" w:eastAsia="仿宋" w:cs="仿宋"/>
          <w:lang w:val="en-US" w:eastAsia="zh-CN"/>
        </w:rPr>
        <w:t>）</w:t>
      </w:r>
      <w:r>
        <w:rPr>
          <w:rFonts w:hint="eastAsia" w:ascii="宋体" w:hAnsi="宋体" w:eastAsia="宋体" w:cs="宋体"/>
          <w:color w:val="auto"/>
          <w:sz w:val="24"/>
          <w:szCs w:val="24"/>
          <w:lang w:val="en-US" w:eastAsia="zh-CN"/>
        </w:rPr>
        <w:t>——笔试——面试</w:t>
      </w:r>
      <w:r>
        <w:rPr>
          <w:rFonts w:hint="eastAsia" w:ascii="仿宋" w:hAnsi="仿宋" w:eastAsia="仿宋" w:cs="仿宋"/>
          <w:lang w:val="en-US" w:eastAsia="zh-CN"/>
        </w:rPr>
        <w:t>（初步面试、专业复试、综合终试）</w:t>
      </w:r>
      <w:r>
        <w:rPr>
          <w:rFonts w:hint="eastAsia" w:ascii="宋体" w:hAnsi="宋体" w:eastAsia="宋体" w:cs="宋体"/>
          <w:color w:val="auto"/>
          <w:sz w:val="24"/>
          <w:szCs w:val="24"/>
          <w:lang w:val="en-US" w:eastAsia="zh-CN"/>
        </w:rPr>
        <w:t>——录取通知——实习/试用</w:t>
      </w:r>
      <w:r>
        <w:rPr>
          <w:rFonts w:hint="eastAsia" w:ascii="仿宋" w:hAnsi="仿宋" w:eastAsia="仿宋" w:cs="仿宋"/>
          <w:color w:val="auto"/>
          <w:szCs w:val="24"/>
          <w:lang w:val="en-US" w:eastAsia="zh-CN"/>
        </w:rPr>
        <w:t>（签订三方就业协议）</w:t>
      </w:r>
      <w:r>
        <w:rPr>
          <w:rFonts w:hint="eastAsia" w:ascii="宋体" w:hAnsi="宋体" w:eastAsia="宋体" w:cs="宋体"/>
          <w:color w:val="auto"/>
          <w:sz w:val="24"/>
          <w:szCs w:val="24"/>
          <w:lang w:val="en-US" w:eastAsia="zh-CN"/>
        </w:rPr>
        <w:t>——正式员工</w:t>
      </w:r>
    </w:p>
    <w:p>
      <w:pPr>
        <w:widowControl/>
        <w:numPr>
          <w:ilvl w:val="0"/>
          <w:numId w:val="0"/>
        </w:numPr>
        <w:tabs>
          <w:tab w:val="left" w:pos="750"/>
        </w:tabs>
        <w:spacing w:line="360" w:lineRule="auto"/>
        <w:ind w:firstLine="480"/>
        <w:rPr>
          <w:rFonts w:hint="eastAsia" w:ascii="宋体" w:hAnsi="宋体" w:eastAsia="宋体" w:cs="宋体"/>
          <w:color w:val="auto"/>
          <w:sz w:val="24"/>
          <w:szCs w:val="24"/>
          <w:lang w:val="en-US" w:eastAsia="zh-CN"/>
        </w:rPr>
      </w:pPr>
    </w:p>
    <w:p>
      <w:pPr>
        <w:widowControl/>
        <w:numPr>
          <w:ilvl w:val="0"/>
          <w:numId w:val="0"/>
        </w:numPr>
        <w:tabs>
          <w:tab w:val="left" w:pos="750"/>
        </w:tabs>
        <w:spacing w:line="360" w:lineRule="auto"/>
        <w:ind w:leftChars="-1"/>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六、联系方式</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rPr>
        <w:t>联</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系</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人：</w:t>
      </w:r>
      <w:r>
        <w:rPr>
          <w:rFonts w:hint="eastAsia" w:ascii="宋体" w:hAnsi="宋体" w:eastAsia="宋体" w:cs="宋体"/>
          <w:sz w:val="24"/>
          <w:szCs w:val="24"/>
          <w:lang w:eastAsia="zh-CN"/>
        </w:rPr>
        <w:t>黄经理</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0731-84589</w:t>
      </w:r>
      <w:r>
        <w:rPr>
          <w:rFonts w:hint="eastAsia" w:ascii="宋体" w:hAnsi="宋体" w:eastAsia="宋体" w:cs="宋体"/>
          <w:sz w:val="24"/>
          <w:szCs w:val="24"/>
          <w:lang w:val="en-US" w:eastAsia="zh-CN"/>
        </w:rPr>
        <w:t xml:space="preserve">880/18670300412   </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公司地址：长沙</w:t>
      </w:r>
      <w:r>
        <w:rPr>
          <w:rFonts w:hint="eastAsia" w:ascii="宋体" w:hAnsi="宋体" w:eastAsia="宋体" w:cs="宋体"/>
          <w:sz w:val="24"/>
          <w:szCs w:val="24"/>
          <w:lang w:eastAsia="zh-CN"/>
        </w:rPr>
        <w:t>市芙蓉区人民东路红旗路口大汉建材城</w:t>
      </w:r>
      <w:r>
        <w:rPr>
          <w:rFonts w:hint="eastAsia" w:ascii="宋体" w:hAnsi="宋体" w:eastAsia="宋体" w:cs="宋体"/>
          <w:sz w:val="24"/>
          <w:szCs w:val="24"/>
          <w:lang w:val="en-US" w:eastAsia="zh-CN"/>
        </w:rPr>
        <w:t>1栋</w:t>
      </w:r>
      <w:r>
        <w:rPr>
          <w:rFonts w:hint="eastAsia" w:ascii="宋体" w:hAnsi="宋体" w:eastAsia="宋体" w:cs="宋体"/>
          <w:sz w:val="24"/>
          <w:szCs w:val="24"/>
          <w:lang w:eastAsia="zh-CN"/>
        </w:rPr>
        <w:t>大汉集团</w:t>
      </w:r>
      <w:r>
        <w:rPr>
          <w:rFonts w:hint="eastAsia" w:ascii="宋体" w:hAnsi="宋体" w:eastAsia="宋体" w:cs="宋体"/>
          <w:sz w:val="24"/>
          <w:szCs w:val="24"/>
          <w:lang w:val="en-US" w:eastAsia="zh-CN"/>
        </w:rPr>
        <w:t>6楼。</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0" w:firstLineChars="0"/>
        <w:jc w:val="both"/>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企业网址：</w:t>
      </w:r>
      <w:r>
        <w:rPr>
          <w:rFonts w:hint="eastAsia" w:ascii="宋体" w:hAnsi="宋体" w:eastAsia="宋体" w:cs="宋体"/>
          <w:b w:val="0"/>
          <w:bCs w:val="0"/>
          <w:sz w:val="24"/>
          <w:szCs w:val="24"/>
          <w:lang w:val="en-US" w:eastAsia="zh-CN"/>
        </w:rPr>
        <w:fldChar w:fldCharType="begin"/>
      </w:r>
      <w:r>
        <w:rPr>
          <w:rFonts w:hint="eastAsia" w:ascii="宋体" w:hAnsi="宋体" w:eastAsia="宋体" w:cs="宋体"/>
          <w:b w:val="0"/>
          <w:bCs w:val="0"/>
          <w:sz w:val="24"/>
          <w:szCs w:val="24"/>
          <w:lang w:val="en-US" w:eastAsia="zh-CN"/>
        </w:rPr>
        <w:instrText xml:space="preserve"> HYPERLINK "http://www.dahangroup.com/" </w:instrText>
      </w:r>
      <w:r>
        <w:rPr>
          <w:rFonts w:hint="eastAsia" w:ascii="宋体" w:hAnsi="宋体" w:eastAsia="宋体" w:cs="宋体"/>
          <w:b w:val="0"/>
          <w:bCs w:val="0"/>
          <w:sz w:val="24"/>
          <w:szCs w:val="24"/>
          <w:lang w:val="en-US" w:eastAsia="zh-CN"/>
        </w:rPr>
        <w:fldChar w:fldCharType="separate"/>
      </w:r>
      <w:r>
        <w:rPr>
          <w:rStyle w:val="4"/>
          <w:rFonts w:hint="eastAsia" w:ascii="宋体" w:hAnsi="宋体" w:eastAsia="宋体" w:cs="宋体"/>
          <w:b w:val="0"/>
          <w:bCs w:val="0"/>
          <w:sz w:val="24"/>
          <w:szCs w:val="24"/>
          <w:lang w:val="en-US" w:eastAsia="zh-CN"/>
        </w:rPr>
        <w:t>http://www.dahangroup.com/</w:t>
      </w:r>
      <w:r>
        <w:rPr>
          <w:rFonts w:hint="eastAsia" w:ascii="宋体" w:hAnsi="宋体" w:eastAsia="宋体" w:cs="宋体"/>
          <w:b w:val="0"/>
          <w:bCs w:val="0"/>
          <w:sz w:val="24"/>
          <w:szCs w:val="24"/>
          <w:lang w:val="en-US" w:eastAsia="zh-CN"/>
        </w:rPr>
        <w:fldChar w:fldCharType="end"/>
      </w:r>
      <w:r>
        <w:rPr>
          <w:rFonts w:hint="eastAsia" w:ascii="宋体" w:hAnsi="宋体" w:eastAsia="宋体" w:cs="宋体"/>
          <w:b w:val="0"/>
          <w:bCs w:val="0"/>
          <w:sz w:val="24"/>
          <w:szCs w:val="24"/>
          <w:lang w:val="en-US" w:eastAsia="zh-CN"/>
        </w:rPr>
        <w:t xml:space="preserve"> 大汉集团</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0" w:firstLineChars="0"/>
        <w:jc w:val="both"/>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lang w:val="en-US" w:eastAsia="zh-CN"/>
        </w:rPr>
        <w:fldChar w:fldCharType="begin"/>
      </w:r>
      <w:r>
        <w:rPr>
          <w:rFonts w:hint="eastAsia" w:ascii="宋体" w:hAnsi="宋体" w:eastAsia="宋体" w:cs="宋体"/>
          <w:b w:val="0"/>
          <w:bCs w:val="0"/>
          <w:sz w:val="24"/>
          <w:szCs w:val="24"/>
          <w:lang w:val="en-US" w:eastAsia="zh-CN"/>
        </w:rPr>
        <w:instrText xml:space="preserve"> HYPERLINK "http://www.dahanwl.com/" </w:instrText>
      </w:r>
      <w:r>
        <w:rPr>
          <w:rFonts w:hint="eastAsia" w:ascii="宋体" w:hAnsi="宋体" w:eastAsia="宋体" w:cs="宋体"/>
          <w:b w:val="0"/>
          <w:bCs w:val="0"/>
          <w:sz w:val="24"/>
          <w:szCs w:val="24"/>
          <w:lang w:val="en-US" w:eastAsia="zh-CN"/>
        </w:rPr>
        <w:fldChar w:fldCharType="separate"/>
      </w:r>
      <w:r>
        <w:rPr>
          <w:rStyle w:val="4"/>
          <w:rFonts w:hint="eastAsia" w:ascii="宋体" w:hAnsi="宋体" w:eastAsia="宋体" w:cs="宋体"/>
          <w:b w:val="0"/>
          <w:bCs w:val="0"/>
          <w:sz w:val="24"/>
          <w:szCs w:val="24"/>
          <w:lang w:val="en-US" w:eastAsia="zh-CN"/>
        </w:rPr>
        <w:t>http://www.dahanwl.com/</w:t>
      </w:r>
      <w:r>
        <w:rPr>
          <w:rFonts w:hint="eastAsia" w:ascii="宋体" w:hAnsi="宋体" w:eastAsia="宋体" w:cs="宋体"/>
          <w:b w:val="0"/>
          <w:bCs w:val="0"/>
          <w:sz w:val="24"/>
          <w:szCs w:val="24"/>
          <w:lang w:val="en-US" w:eastAsia="zh-CN"/>
        </w:rPr>
        <w:fldChar w:fldCharType="end"/>
      </w:r>
      <w:r>
        <w:rPr>
          <w:rFonts w:hint="eastAsia" w:ascii="宋体" w:hAnsi="宋体" w:eastAsia="宋体" w:cs="宋体"/>
          <w:b w:val="0"/>
          <w:bCs w:val="0"/>
          <w:sz w:val="24"/>
          <w:szCs w:val="24"/>
          <w:lang w:val="en-US" w:eastAsia="zh-CN"/>
        </w:rPr>
        <w:t xml:space="preserve"> 大汉物流</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80" w:firstLineChars="200"/>
        <w:jc w:val="both"/>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投递邮箱：</w:t>
      </w:r>
      <w:r>
        <w:rPr>
          <w:rFonts w:hint="eastAsia" w:ascii="宋体" w:hAnsi="宋体" w:eastAsia="宋体" w:cs="宋体"/>
          <w:b w:val="0"/>
          <w:bCs w:val="0"/>
          <w:sz w:val="24"/>
          <w:szCs w:val="24"/>
          <w:lang w:val="en-US" w:eastAsia="zh-CN"/>
        </w:rPr>
        <w:fldChar w:fldCharType="begin"/>
      </w:r>
      <w:r>
        <w:rPr>
          <w:rFonts w:hint="eastAsia" w:ascii="宋体" w:hAnsi="宋体" w:eastAsia="宋体" w:cs="宋体"/>
          <w:b w:val="0"/>
          <w:bCs w:val="0"/>
          <w:sz w:val="24"/>
          <w:szCs w:val="24"/>
          <w:lang w:val="en-US" w:eastAsia="zh-CN"/>
        </w:rPr>
        <w:instrText xml:space="preserve"> HYPERLINK "mailto:dhwlhr@163.com" </w:instrText>
      </w:r>
      <w:r>
        <w:rPr>
          <w:rFonts w:hint="eastAsia" w:ascii="宋体" w:hAnsi="宋体" w:eastAsia="宋体" w:cs="宋体"/>
          <w:b w:val="0"/>
          <w:bCs w:val="0"/>
          <w:sz w:val="24"/>
          <w:szCs w:val="24"/>
          <w:lang w:val="en-US" w:eastAsia="zh-CN"/>
        </w:rPr>
        <w:fldChar w:fldCharType="separate"/>
      </w:r>
      <w:r>
        <w:rPr>
          <w:rStyle w:val="4"/>
          <w:rFonts w:hint="eastAsia" w:ascii="宋体" w:hAnsi="宋体" w:eastAsia="宋体" w:cs="宋体"/>
          <w:b w:val="0"/>
          <w:bCs w:val="0"/>
          <w:sz w:val="24"/>
          <w:szCs w:val="24"/>
          <w:lang w:val="en-US" w:eastAsia="zh-CN"/>
        </w:rPr>
        <w:t>dhwlhr@163.com</w:t>
      </w:r>
      <w:r>
        <w:rPr>
          <w:rFonts w:hint="eastAsia" w:ascii="宋体" w:hAnsi="宋体" w:eastAsia="宋体" w:cs="宋体"/>
          <w:b w:val="0"/>
          <w:bCs w:val="0"/>
          <w:sz w:val="24"/>
          <w:szCs w:val="24"/>
          <w:lang w:val="en-US" w:eastAsia="zh-CN"/>
        </w:rPr>
        <w:fldChar w:fldCharType="end"/>
      </w:r>
      <w:r>
        <w:rPr>
          <w:rFonts w:hint="eastAsia" w:ascii="宋体" w:hAnsi="宋体" w:eastAsia="宋体" w:cs="宋体"/>
          <w:b w:val="0"/>
          <w:bCs w:val="0"/>
          <w:sz w:val="24"/>
          <w:szCs w:val="24"/>
          <w:lang w:val="en-US" w:eastAsia="zh-CN"/>
        </w:rPr>
        <w:t xml:space="preserve"> 或 </w:t>
      </w:r>
      <w:r>
        <w:rPr>
          <w:rFonts w:hint="eastAsia" w:ascii="宋体" w:hAnsi="宋体" w:eastAsia="宋体" w:cs="宋体"/>
          <w:b w:val="0"/>
          <w:bCs w:val="0"/>
          <w:sz w:val="24"/>
          <w:szCs w:val="24"/>
          <w:lang w:val="en-US" w:eastAsia="zh-CN"/>
        </w:rPr>
        <w:fldChar w:fldCharType="begin"/>
      </w:r>
      <w:r>
        <w:rPr>
          <w:rFonts w:hint="eastAsia" w:ascii="宋体" w:hAnsi="宋体" w:eastAsia="宋体" w:cs="宋体"/>
          <w:b w:val="0"/>
          <w:bCs w:val="0"/>
          <w:sz w:val="24"/>
          <w:szCs w:val="24"/>
          <w:lang w:val="en-US" w:eastAsia="zh-CN"/>
        </w:rPr>
        <w:instrText xml:space="preserve"> HYPERLINK "mailto:290663956@qq.com" </w:instrText>
      </w:r>
      <w:r>
        <w:rPr>
          <w:rFonts w:hint="eastAsia" w:ascii="宋体" w:hAnsi="宋体" w:eastAsia="宋体" w:cs="宋体"/>
          <w:b w:val="0"/>
          <w:bCs w:val="0"/>
          <w:sz w:val="24"/>
          <w:szCs w:val="24"/>
          <w:lang w:val="en-US" w:eastAsia="zh-CN"/>
        </w:rPr>
        <w:fldChar w:fldCharType="separate"/>
      </w:r>
      <w:r>
        <w:rPr>
          <w:rStyle w:val="4"/>
          <w:rFonts w:hint="eastAsia" w:ascii="宋体" w:hAnsi="宋体" w:eastAsia="宋体" w:cs="宋体"/>
          <w:b w:val="0"/>
          <w:bCs w:val="0"/>
          <w:sz w:val="24"/>
          <w:szCs w:val="24"/>
          <w:lang w:val="en-US" w:eastAsia="zh-CN"/>
        </w:rPr>
        <w:t>55965170@qq.com</w:t>
      </w:r>
      <w:r>
        <w:rPr>
          <w:rFonts w:hint="eastAsia" w:ascii="宋体" w:hAnsi="宋体" w:eastAsia="宋体" w:cs="宋体"/>
          <w:b w:val="0"/>
          <w:bCs w:val="0"/>
          <w:sz w:val="24"/>
          <w:szCs w:val="24"/>
          <w:lang w:val="en-US" w:eastAsia="zh-CN"/>
        </w:rPr>
        <w:fldChar w:fldCharType="end"/>
      </w:r>
    </w:p>
    <w:p>
      <w:pPr>
        <w:rPr>
          <w:rFonts w:hint="eastAsia" w:ascii="宋体" w:hAnsi="宋体" w:eastAsia="宋体" w:cs="宋体"/>
          <w:sz w:val="24"/>
          <w:szCs w:val="24"/>
        </w:rPr>
      </w:pPr>
    </w:p>
    <w:p>
      <w:pPr>
        <w:rPr>
          <w:rFonts w:hint="eastAsia" w:ascii="宋体" w:hAnsi="宋体" w:eastAsia="宋体" w:cs="宋体"/>
          <w:sz w:val="24"/>
          <w:szCs w:val="24"/>
        </w:rPr>
      </w:pPr>
    </w:p>
    <w:sectPr>
      <w:pgSz w:w="11906" w:h="16838"/>
      <w:pgMar w:top="1440" w:right="1286" w:bottom="1440" w:left="11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19F" w:csb1="00000000"/>
  </w:font>
  <w:font w:name="Calibri">
    <w:panose1 w:val="020F0502020204030204"/>
    <w:charset w:val="00"/>
    <w:family w:val="swiss"/>
    <w:pitch w:val="default"/>
    <w:sig w:usb0="E10002FF" w:usb1="4000ACFF" w:usb2="00000009" w:usb3="00000000" w:csb0="2000019F" w:csb1="00000000"/>
  </w:font>
  <w:font w:name="Courier New">
    <w:panose1 w:val="02070309020205020404"/>
    <w:charset w:val="00"/>
    <w:family w:val="modern"/>
    <w:pitch w:val="default"/>
    <w:sig w:usb0="E0002AFF" w:usb1="C0007843" w:usb2="00000009" w:usb3="00000000" w:csb0="400001FF" w:csb1="FFFF0000"/>
  </w:font>
  <w:font w:name="华文新魏">
    <w:panose1 w:val="02010800040101010101"/>
    <w:charset w:val="86"/>
    <w:family w:val="auto"/>
    <w:pitch w:val="default"/>
    <w:sig w:usb0="00000001" w:usb1="080F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A00002EF" w:usb1="4000207B"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Verdana">
    <w:panose1 w:val="020B0604030504040204"/>
    <w:charset w:val="00"/>
    <w:family w:val="swiss"/>
    <w:pitch w:val="default"/>
    <w:sig w:usb0="A10006FF" w:usb1="4000205B" w:usb2="00000010" w:usb3="00000000" w:csb0="2000019F" w:csb1="00000000"/>
  </w:font>
  <w:font w:name="华文中宋">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Arial">
    <w:panose1 w:val="020B0604020202020204"/>
    <w:charset w:val="00"/>
    <w:family w:val="swiss"/>
    <w:pitch w:val="default"/>
    <w:sig w:usb0="E0002AFF" w:usb1="C0007843" w:usb2="00000009" w:usb3="00000000" w:csb0="400001FF" w:csb1="FFFF0000"/>
  </w:font>
  <w:font w:name="mn-cs">
    <w:altName w:val="ChronicGothic"/>
    <w:panose1 w:val="00000000000000000000"/>
    <w:charset w:val="00"/>
    <w:family w:val="auto"/>
    <w:pitch w:val="default"/>
    <w:sig w:usb0="00000000" w:usb1="00000000" w:usb2="00000000" w:usb3="00000000" w:csb0="00000000" w:csb1="00000000"/>
  </w:font>
  <w:font w:name="ChronicGothic">
    <w:panose1 w:val="02000500000000000000"/>
    <w:charset w:val="00"/>
    <w:family w:val="auto"/>
    <w:pitch w:val="default"/>
    <w:sig w:usb0="800000A7" w:usb1="5000004A" w:usb2="00000000" w:usb3="00000000" w:csb0="20000111" w:csb1="41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ACB439"/>
    <w:multiLevelType w:val="singleLevel"/>
    <w:tmpl w:val="59ACB439"/>
    <w:lvl w:ilvl="0" w:tentative="0">
      <w:start w:val="3"/>
      <w:numFmt w:val="chineseCounting"/>
      <w:suff w:val="nothing"/>
      <w:lvlText w:val="%1、"/>
      <w:lvlJc w:val="left"/>
    </w:lvl>
  </w:abstractNum>
  <w:abstractNum w:abstractNumId="1">
    <w:nsid w:val="59ACB48E"/>
    <w:multiLevelType w:val="singleLevel"/>
    <w:tmpl w:val="59ACB48E"/>
    <w:lvl w:ilvl="0" w:tentative="0">
      <w:start w:val="1"/>
      <w:numFmt w:val="decimal"/>
      <w:suff w:val="nothing"/>
      <w:lvlText w:val="%1、"/>
      <w:lvlJc w:val="left"/>
    </w:lvl>
  </w:abstractNum>
  <w:abstractNum w:abstractNumId="2">
    <w:nsid w:val="59ACB5DA"/>
    <w:multiLevelType w:val="singleLevel"/>
    <w:tmpl w:val="59ACB5DA"/>
    <w:lvl w:ilvl="0" w:tentative="0">
      <w:start w:val="4"/>
      <w:numFmt w:val="chineseCounting"/>
      <w:suff w:val="nothing"/>
      <w:lvlText w:val="%1、"/>
      <w:lvlJc w:val="left"/>
    </w:lvl>
  </w:abstractNum>
  <w:abstractNum w:abstractNumId="3">
    <w:nsid w:val="59ACBAFC"/>
    <w:multiLevelType w:val="singleLevel"/>
    <w:tmpl w:val="59ACBAFC"/>
    <w:lvl w:ilvl="0" w:tentative="0">
      <w:start w:val="2"/>
      <w:numFmt w:val="decimal"/>
      <w:suff w:val="nothing"/>
      <w:lvlText w:val="%1、"/>
      <w:lvlJc w:val="left"/>
    </w:lvl>
  </w:abstractNum>
  <w:abstractNum w:abstractNumId="4">
    <w:nsid w:val="59AD0C70"/>
    <w:multiLevelType w:val="singleLevel"/>
    <w:tmpl w:val="59AD0C70"/>
    <w:lvl w:ilvl="0" w:tentative="0">
      <w:start w:val="5"/>
      <w:numFmt w:val="chineseCounting"/>
      <w:suff w:val="nothing"/>
      <w:lvlText w:val="%1、"/>
      <w:lvlJc w:val="left"/>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E95F8F"/>
    <w:rsid w:val="00634F43"/>
    <w:rsid w:val="00A66B89"/>
    <w:rsid w:val="02AE7087"/>
    <w:rsid w:val="0DEC7F19"/>
    <w:rsid w:val="0ED579D9"/>
    <w:rsid w:val="0F270A14"/>
    <w:rsid w:val="11AF3FC4"/>
    <w:rsid w:val="15A26CB9"/>
    <w:rsid w:val="167F7E87"/>
    <w:rsid w:val="188A39DA"/>
    <w:rsid w:val="1BAF2381"/>
    <w:rsid w:val="21413D1C"/>
    <w:rsid w:val="24FC49CE"/>
    <w:rsid w:val="27A449BB"/>
    <w:rsid w:val="2BAC3E09"/>
    <w:rsid w:val="2BBD24E3"/>
    <w:rsid w:val="2E164E21"/>
    <w:rsid w:val="2E84512A"/>
    <w:rsid w:val="2FE95F8F"/>
    <w:rsid w:val="311F2F6F"/>
    <w:rsid w:val="31E71068"/>
    <w:rsid w:val="34950213"/>
    <w:rsid w:val="34A3292A"/>
    <w:rsid w:val="39A761FB"/>
    <w:rsid w:val="3A242699"/>
    <w:rsid w:val="3B7D6F0E"/>
    <w:rsid w:val="4F2F4E0F"/>
    <w:rsid w:val="50D637C1"/>
    <w:rsid w:val="544B0C58"/>
    <w:rsid w:val="58390201"/>
    <w:rsid w:val="59446F61"/>
    <w:rsid w:val="59520695"/>
    <w:rsid w:val="5F220A33"/>
    <w:rsid w:val="65A36380"/>
    <w:rsid w:val="6608537E"/>
    <w:rsid w:val="66414363"/>
    <w:rsid w:val="694D5BF5"/>
    <w:rsid w:val="6A4915E2"/>
    <w:rsid w:val="6B175E95"/>
    <w:rsid w:val="6CCC04A0"/>
    <w:rsid w:val="7091234C"/>
    <w:rsid w:val="735878AA"/>
    <w:rsid w:val="79750D3F"/>
    <w:rsid w:val="7C2C4D20"/>
    <w:rsid w:val="7CB5758E"/>
    <w:rsid w:val="7F5C532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4">
    <w:name w:val="Hyperlink"/>
    <w:basedOn w:val="3"/>
    <w:qFormat/>
    <w:uiPriority w:val="0"/>
    <w:rPr>
      <w:color w:val="0000FF"/>
      <w:u w:val="single"/>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2017-09-04T01:36:00Z</dcterms:created>
  <dc:creator>陈瑞花</dc:creator>
  <cp:lastModifiedBy>黄芥</cp:lastModifiedBy>
  <dcterms:modified xsi:type="dcterms:W3CDTF">2018-02-27T06:11:19Z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